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90" w:type="dxa"/>
        <w:tblLayout w:type="fixed"/>
        <w:tblCellMar>
          <w:left w:w="0" w:type="dxa"/>
          <w:right w:w="0" w:type="dxa"/>
        </w:tblCellMar>
        <w:tblLook w:val="0000"/>
      </w:tblPr>
      <w:tblGrid>
        <w:gridCol w:w="3174"/>
        <w:gridCol w:w="6726"/>
      </w:tblGrid>
      <w:tr w:rsidR="007650E4" w:rsidTr="00D41CA3">
        <w:tblPrEx>
          <w:tblCellMar>
            <w:top w:w="0" w:type="dxa"/>
            <w:left w:w="0" w:type="dxa"/>
            <w:bottom w:w="0" w:type="dxa"/>
            <w:right w:w="0" w:type="dxa"/>
          </w:tblCellMar>
        </w:tblPrEx>
        <w:tc>
          <w:tcPr>
            <w:tcW w:w="3174" w:type="dxa"/>
            <w:tcBorders>
              <w:top w:val="single" w:sz="7" w:space="0" w:color="auto"/>
              <w:left w:val="nil"/>
              <w:bottom w:val="nil"/>
              <w:right w:val="nil"/>
            </w:tcBorders>
          </w:tcPr>
          <w:p w:rsidR="007650E4" w:rsidRDefault="007650E4" w:rsidP="00FE3D53">
            <w:pPr>
              <w:widowControl/>
              <w:tabs>
                <w:tab w:val="left" w:pos="660"/>
                <w:tab w:val="left" w:pos="1320"/>
                <w:tab w:val="left" w:pos="1980"/>
                <w:tab w:val="left" w:pos="2640"/>
                <w:tab w:val="left" w:pos="3300"/>
                <w:tab w:val="left" w:pos="3960"/>
              </w:tabs>
              <w:suppressAutoHyphens/>
              <w:spacing w:before="18" w:after="68" w:line="240" w:lineRule="atLeast"/>
              <w:rPr>
                <w:rFonts w:ascii="Palace Script MT" w:hAnsi="Palace Script MT" w:cs="Palace Script MT"/>
                <w:sz w:val="17"/>
                <w:szCs w:val="17"/>
              </w:rPr>
            </w:pPr>
            <w:r>
              <w:rPr>
                <w:noProof/>
              </w:rPr>
              <w:pict>
                <v:rect id="_x0000_s2050" style="position:absolute;margin-left:1.5pt;margin-top:35.75pt;width:69pt;height:61.2pt;z-index:-251658752;mso-position-horizontal-relative:margin;mso-position-vertical-relative:page" o:allowincell="f" filled="f" stroked="f" strokeweight="0">
                  <v:textbox inset="0,0,0,0">
                    <w:txbxContent>
                      <w:p w:rsidR="002F1498" w:rsidRDefault="002F1498">
                        <w:pPr>
                          <w:widowControl/>
                          <w:suppressAutoHyphens/>
                          <w:spacing w:line="240" w:lineRule="atLeast"/>
                          <w:rPr>
                            <w:rFonts w:ascii="Palace Script MT" w:hAnsi="Palace Script MT" w:cs="Palace Script MT"/>
                            <w:sz w:val="2"/>
                            <w:szCs w:val="2"/>
                          </w:rPr>
                        </w:pPr>
                        <w:r>
                          <w:rPr>
                            <w:rFonts w:ascii="Palace Script MT" w:hAnsi="Palace Script MT" w:cs="Palace Script MT"/>
                            <w:sz w:val="17"/>
                            <w:szCs w:val="17"/>
                          </w:rPr>
                          <w:fldChar w:fldCharType="begin" w:fldLock="1"/>
                        </w:r>
                        <w:r>
                          <w:rPr>
                            <w:rFonts w:ascii="Palace Script MT" w:hAnsi="Palace Script MT" w:cs="Palace Script MT"/>
                            <w:sz w:val="17"/>
                            <w:szCs w:val="17"/>
                          </w:rPr>
                          <w:instrText>import K:\\OP\\ORM\\Templates\\Word Docs for Conversion\\Public_Notices\\corps_logo.wpg</w:instrText>
                        </w:r>
                        <w:r>
                          <w:rPr>
                            <w:rFonts w:ascii="Palace Script MT" w:hAnsi="Palace Script MT" w:cs="Palace Script MT"/>
                            <w:sz w:val="17"/>
                            <w:szCs w:val="17"/>
                          </w:rPr>
                          <w:fldChar w:fldCharType="separate"/>
                        </w:r>
                        <w:r>
                          <w:rPr>
                            <w:rFonts w:ascii="Palace Script MT" w:hAnsi="Palace Script MT" w:cs="Palace Script MT"/>
                            <w:noProof/>
                            <w:sz w:val="17"/>
                            <w:szCs w:val="17"/>
                          </w:rPr>
                          <w:drawing>
                            <wp:inline distT="0" distB="0" distL="0" distR="0">
                              <wp:extent cx="874395" cy="70739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4395" cy="707390"/>
                                      </a:xfrm>
                                      <a:prstGeom prst="rect">
                                        <a:avLst/>
                                      </a:prstGeom>
                                      <a:noFill/>
                                      <a:ln w="9525">
                                        <a:noFill/>
                                        <a:miter lim="800000"/>
                                        <a:headEnd/>
                                        <a:tailEnd/>
                                      </a:ln>
                                    </pic:spPr>
                                  </pic:pic>
                                </a:graphicData>
                              </a:graphic>
                            </wp:inline>
                          </w:drawing>
                        </w:r>
                        <w:r>
                          <w:rPr>
                            <w:rFonts w:ascii="Palace Script MT" w:hAnsi="Palace Script MT" w:cs="Palace Script MT"/>
                            <w:sz w:val="17"/>
                            <w:szCs w:val="17"/>
                          </w:rPr>
                          <w:fldChar w:fldCharType="end"/>
                        </w:r>
                      </w:p>
                    </w:txbxContent>
                  </v:textbox>
                  <w10:wrap anchorx="margin" anchory="page"/>
                </v:rect>
              </w:pict>
            </w:r>
            <w:r>
              <w:rPr>
                <w:rFonts w:ascii="Palace Script MT" w:hAnsi="Palace Script MT" w:cs="Palace Script MT"/>
                <w:sz w:val="17"/>
                <w:szCs w:val="17"/>
              </w:rPr>
              <w:fldChar w:fldCharType="begin"/>
            </w:r>
            <w:r>
              <w:rPr>
                <w:rFonts w:ascii="Palace Script MT" w:hAnsi="Palace Script MT" w:cs="Palace Script MT"/>
                <w:sz w:val="17"/>
                <w:szCs w:val="17"/>
              </w:rPr>
              <w:instrText xml:space="preserve">PRIVATE </w:instrText>
            </w:r>
            <w:r w:rsidRPr="007650E4">
              <w:rPr>
                <w:rFonts w:ascii="Palace Script MT" w:hAnsi="Palace Script MT" w:cs="Palace Script MT"/>
                <w:sz w:val="17"/>
                <w:szCs w:val="17"/>
              </w:rPr>
            </w:r>
            <w:r>
              <w:rPr>
                <w:rFonts w:ascii="Palace Script MT" w:hAnsi="Palace Script MT" w:cs="Palace Script MT"/>
                <w:sz w:val="17"/>
                <w:szCs w:val="17"/>
              </w:rPr>
              <w:fldChar w:fldCharType="end"/>
            </w:r>
          </w:p>
        </w:tc>
        <w:tc>
          <w:tcPr>
            <w:tcW w:w="6726" w:type="dxa"/>
            <w:tcBorders>
              <w:top w:val="single" w:sz="7" w:space="0" w:color="auto"/>
              <w:left w:val="nil"/>
              <w:bottom w:val="nil"/>
              <w:right w:val="nil"/>
            </w:tcBorders>
          </w:tcPr>
          <w:p w:rsidR="007650E4" w:rsidRPr="00A6443C" w:rsidRDefault="007650E4" w:rsidP="00FE3D53">
            <w:pPr>
              <w:widowControl/>
              <w:tabs>
                <w:tab w:val="left" w:pos="-2424"/>
                <w:tab w:val="left" w:pos="-1764"/>
                <w:tab w:val="left" w:pos="-1104"/>
                <w:tab w:val="left" w:pos="-444"/>
                <w:tab w:val="left" w:pos="216"/>
                <w:tab w:val="left" w:pos="876"/>
                <w:tab w:val="left" w:pos="1536"/>
                <w:tab w:val="left" w:pos="2196"/>
                <w:tab w:val="left" w:pos="2856"/>
                <w:tab w:val="left" w:pos="3516"/>
                <w:tab w:val="left" w:pos="4176"/>
                <w:tab w:val="left" w:pos="4836"/>
              </w:tabs>
              <w:suppressAutoHyphens/>
              <w:spacing w:before="18" w:after="68" w:line="240" w:lineRule="atLeast"/>
              <w:rPr>
                <w:rFonts w:ascii="Arial" w:hAnsi="Arial" w:cs="Arial"/>
                <w:b/>
                <w:sz w:val="80"/>
                <w:szCs w:val="80"/>
              </w:rPr>
            </w:pPr>
            <w:r w:rsidRPr="00A6443C">
              <w:rPr>
                <w:rFonts w:ascii="Arial" w:hAnsi="Arial" w:cs="Arial"/>
                <w:b/>
                <w:sz w:val="80"/>
                <w:szCs w:val="80"/>
              </w:rPr>
              <w:t>Public Notice</w:t>
            </w:r>
          </w:p>
        </w:tc>
      </w:tr>
      <w:tr w:rsidR="007650E4" w:rsidTr="00D41CA3">
        <w:tblPrEx>
          <w:tblCellMar>
            <w:top w:w="0" w:type="dxa"/>
            <w:left w:w="0" w:type="dxa"/>
            <w:bottom w:w="0" w:type="dxa"/>
            <w:right w:w="0" w:type="dxa"/>
          </w:tblCellMar>
        </w:tblPrEx>
        <w:tc>
          <w:tcPr>
            <w:tcW w:w="3174" w:type="dxa"/>
            <w:tcBorders>
              <w:top w:val="nil"/>
              <w:left w:val="nil"/>
              <w:bottom w:val="nil"/>
              <w:right w:val="nil"/>
            </w:tcBorders>
          </w:tcPr>
          <w:p w:rsidR="007650E4" w:rsidRDefault="007650E4" w:rsidP="00FE3D53">
            <w:pPr>
              <w:widowControl/>
              <w:tabs>
                <w:tab w:val="left" w:pos="660"/>
                <w:tab w:val="left" w:pos="1320"/>
                <w:tab w:val="left" w:pos="1980"/>
                <w:tab w:val="left" w:pos="2640"/>
                <w:tab w:val="left" w:pos="3300"/>
                <w:tab w:val="left" w:pos="3960"/>
              </w:tabs>
              <w:suppressAutoHyphens/>
              <w:spacing w:before="18" w:after="68" w:line="240" w:lineRule="atLeast"/>
              <w:rPr>
                <w:rFonts w:ascii="Arial" w:hAnsi="Arial" w:cs="Arial"/>
                <w:sz w:val="16"/>
                <w:szCs w:val="16"/>
              </w:rPr>
            </w:pPr>
          </w:p>
        </w:tc>
        <w:tc>
          <w:tcPr>
            <w:tcW w:w="6726" w:type="dxa"/>
            <w:tcBorders>
              <w:top w:val="single" w:sz="7" w:space="0" w:color="auto"/>
              <w:left w:val="nil"/>
              <w:bottom w:val="nil"/>
              <w:right w:val="nil"/>
            </w:tcBorders>
          </w:tcPr>
          <w:p w:rsidR="007650E4" w:rsidRDefault="007650E4" w:rsidP="00FE3D53">
            <w:pPr>
              <w:widowControl/>
              <w:tabs>
                <w:tab w:val="center" w:pos="3258"/>
                <w:tab w:val="right" w:pos="6516"/>
              </w:tabs>
              <w:suppressAutoHyphens/>
              <w:spacing w:before="18" w:line="264" w:lineRule="atLeast"/>
              <w:rPr>
                <w:rFonts w:ascii="Univers" w:hAnsi="Univers" w:cs="Univers"/>
                <w:sz w:val="15"/>
                <w:szCs w:val="15"/>
              </w:rPr>
            </w:pPr>
            <w:r>
              <w:rPr>
                <w:rFonts w:ascii="Univers" w:hAnsi="Univers" w:cs="Univers"/>
                <w:sz w:val="15"/>
                <w:szCs w:val="15"/>
              </w:rPr>
              <w:t>Public Notice No.</w:t>
            </w:r>
            <w:r>
              <w:rPr>
                <w:rFonts w:ascii="Univers" w:hAnsi="Univers" w:cs="Univers"/>
                <w:sz w:val="15"/>
                <w:szCs w:val="15"/>
              </w:rPr>
              <w:tab/>
            </w:r>
            <w:r w:rsidR="003D6DA0">
              <w:rPr>
                <w:rFonts w:ascii="Univers" w:hAnsi="Univers" w:cs="Univers"/>
                <w:sz w:val="15"/>
                <w:szCs w:val="15"/>
              </w:rPr>
              <w:t xml:space="preserve">Open </w:t>
            </w:r>
            <w:r>
              <w:rPr>
                <w:rFonts w:ascii="Univers" w:hAnsi="Univers" w:cs="Univers"/>
                <w:sz w:val="15"/>
                <w:szCs w:val="15"/>
              </w:rPr>
              <w:t>Date:</w:t>
            </w:r>
            <w:r>
              <w:rPr>
                <w:rFonts w:ascii="Univers" w:hAnsi="Univers" w:cs="Univers"/>
                <w:sz w:val="15"/>
                <w:szCs w:val="15"/>
              </w:rPr>
              <w:tab/>
              <w:t>Clos</w:t>
            </w:r>
            <w:r w:rsidR="003D6DA0">
              <w:rPr>
                <w:rFonts w:ascii="Univers" w:hAnsi="Univers" w:cs="Univers"/>
                <w:sz w:val="15"/>
                <w:szCs w:val="15"/>
              </w:rPr>
              <w:t>e</w:t>
            </w:r>
            <w:r>
              <w:rPr>
                <w:rFonts w:ascii="Univers" w:hAnsi="Univers" w:cs="Univers"/>
                <w:sz w:val="15"/>
                <w:szCs w:val="15"/>
              </w:rPr>
              <w:t xml:space="preserve"> Date:</w:t>
            </w:r>
            <w:r>
              <w:rPr>
                <w:rFonts w:ascii="Univers" w:hAnsi="Univers" w:cs="Univers"/>
                <w:sz w:val="15"/>
                <w:szCs w:val="15"/>
              </w:rPr>
              <w:fldChar w:fldCharType="begin"/>
            </w:r>
            <w:r>
              <w:rPr>
                <w:rFonts w:ascii="Univers" w:hAnsi="Univers" w:cs="Univers"/>
                <w:sz w:val="15"/>
                <w:szCs w:val="15"/>
              </w:rPr>
              <w:instrText xml:space="preserve">PRIVATE </w:instrText>
            </w:r>
            <w:r w:rsidRPr="007650E4">
              <w:rPr>
                <w:rFonts w:ascii="Univers" w:hAnsi="Univers" w:cs="Univers"/>
                <w:sz w:val="15"/>
                <w:szCs w:val="15"/>
              </w:rPr>
            </w:r>
            <w:r>
              <w:rPr>
                <w:rFonts w:ascii="Univers" w:hAnsi="Univers" w:cs="Univers"/>
                <w:sz w:val="15"/>
                <w:szCs w:val="15"/>
              </w:rPr>
              <w:fldChar w:fldCharType="end"/>
            </w:r>
          </w:p>
          <w:p w:rsidR="007650E4" w:rsidRDefault="0012092A" w:rsidP="00BD1563">
            <w:pPr>
              <w:widowControl/>
              <w:tabs>
                <w:tab w:val="center" w:pos="3258"/>
                <w:tab w:val="left" w:pos="5535"/>
                <w:tab w:val="right" w:pos="6516"/>
              </w:tabs>
              <w:suppressAutoHyphens/>
              <w:spacing w:after="68" w:line="264" w:lineRule="atLeast"/>
              <w:rPr>
                <w:rFonts w:ascii="Univers" w:hAnsi="Univers" w:cs="Univers"/>
                <w:sz w:val="15"/>
                <w:szCs w:val="15"/>
              </w:rPr>
            </w:pPr>
            <w:r>
              <w:rPr>
                <w:rFonts w:ascii="Univers" w:hAnsi="Univers" w:cs="Univers"/>
                <w:sz w:val="15"/>
                <w:szCs w:val="15"/>
              </w:rPr>
              <w:t xml:space="preserve"> N/A</w:t>
            </w:r>
            <w:r w:rsidR="007650E4">
              <w:rPr>
                <w:rFonts w:ascii="Univers" w:hAnsi="Univers" w:cs="Univers"/>
                <w:sz w:val="15"/>
                <w:szCs w:val="15"/>
              </w:rPr>
              <w:tab/>
            </w:r>
            <w:r w:rsidR="00BD1563">
              <w:rPr>
                <w:rFonts w:ascii="Univers" w:hAnsi="Univers" w:cs="Univers"/>
                <w:sz w:val="15"/>
                <w:szCs w:val="15"/>
              </w:rPr>
              <w:t>N/A</w:t>
            </w:r>
            <w:r w:rsidR="007650E4">
              <w:rPr>
                <w:rFonts w:ascii="Univers" w:hAnsi="Univers" w:cs="Univers"/>
                <w:sz w:val="15"/>
                <w:szCs w:val="15"/>
              </w:rPr>
              <w:tab/>
            </w:r>
            <w:r w:rsidR="00C95300">
              <w:rPr>
                <w:rFonts w:ascii="Univers" w:hAnsi="Univers" w:cs="Univers"/>
                <w:sz w:val="15"/>
                <w:szCs w:val="15"/>
              </w:rPr>
              <w:t xml:space="preserve">    </w:t>
            </w:r>
            <w:r>
              <w:rPr>
                <w:rFonts w:ascii="Univers" w:hAnsi="Univers" w:cs="Univers"/>
                <w:sz w:val="15"/>
                <w:szCs w:val="15"/>
              </w:rPr>
              <w:t xml:space="preserve">      N/A</w:t>
            </w:r>
            <w:r w:rsidR="00C95300">
              <w:rPr>
                <w:rFonts w:ascii="Univers" w:hAnsi="Univers" w:cs="Univers"/>
                <w:sz w:val="15"/>
                <w:szCs w:val="15"/>
              </w:rPr>
              <w:tab/>
            </w:r>
          </w:p>
        </w:tc>
      </w:tr>
      <w:tr w:rsidR="007650E4" w:rsidTr="00D41CA3">
        <w:tblPrEx>
          <w:tblCellMar>
            <w:top w:w="0" w:type="dxa"/>
            <w:left w:w="0" w:type="dxa"/>
            <w:bottom w:w="0" w:type="dxa"/>
            <w:right w:w="0" w:type="dxa"/>
          </w:tblCellMar>
        </w:tblPrEx>
        <w:tc>
          <w:tcPr>
            <w:tcW w:w="3174" w:type="dxa"/>
            <w:tcBorders>
              <w:top w:val="nil"/>
              <w:left w:val="nil"/>
              <w:bottom w:val="single" w:sz="18" w:space="0" w:color="auto"/>
              <w:right w:val="nil"/>
            </w:tcBorders>
          </w:tcPr>
          <w:p w:rsidR="000250F0" w:rsidRDefault="000250F0" w:rsidP="00FE3D53">
            <w:pPr>
              <w:widowControl/>
              <w:tabs>
                <w:tab w:val="left" w:pos="660"/>
                <w:tab w:val="left" w:pos="1320"/>
                <w:tab w:val="left" w:pos="1980"/>
                <w:tab w:val="left" w:pos="2640"/>
                <w:tab w:val="left" w:pos="3300"/>
                <w:tab w:val="left" w:pos="3960"/>
              </w:tabs>
              <w:suppressAutoHyphens/>
              <w:spacing w:before="18" w:after="68" w:line="220" w:lineRule="exact"/>
              <w:rPr>
                <w:rFonts w:ascii="Arial" w:hAnsi="Arial" w:cs="Arial"/>
                <w:b/>
                <w:bCs/>
                <w:sz w:val="24"/>
                <w:szCs w:val="24"/>
              </w:rPr>
            </w:pPr>
            <w:r>
              <w:rPr>
                <w:rFonts w:ascii="Arial" w:hAnsi="Arial" w:cs="Arial"/>
                <w:b/>
                <w:bCs/>
                <w:sz w:val="24"/>
                <w:szCs w:val="24"/>
              </w:rPr>
              <w:t xml:space="preserve">    US Army Corps</w:t>
            </w:r>
          </w:p>
          <w:p w:rsidR="000250F0" w:rsidRDefault="000250F0" w:rsidP="00FE3D53">
            <w:pPr>
              <w:widowControl/>
              <w:spacing w:line="220" w:lineRule="exact"/>
              <w:rPr>
                <w:rFonts w:ascii="Arial" w:hAnsi="Arial" w:cs="Arial"/>
                <w:sz w:val="24"/>
                <w:szCs w:val="24"/>
              </w:rPr>
            </w:pPr>
            <w:r>
              <w:rPr>
                <w:rFonts w:ascii="Arial" w:hAnsi="Arial" w:cs="Arial"/>
                <w:b/>
                <w:bCs/>
                <w:sz w:val="24"/>
                <w:szCs w:val="24"/>
              </w:rPr>
              <w:t xml:space="preserve">    of Engineers</w:t>
            </w:r>
            <w:r>
              <w:rPr>
                <w:rFonts w:ascii="Arial" w:hAnsi="Arial" w:cs="Arial"/>
                <w:sz w:val="24"/>
                <w:szCs w:val="24"/>
              </w:rPr>
              <w:t xml:space="preserve"> </w:t>
            </w:r>
          </w:p>
          <w:p w:rsidR="000250F0" w:rsidRDefault="000250F0" w:rsidP="00FE3D53">
            <w:pPr>
              <w:widowControl/>
              <w:spacing w:line="220" w:lineRule="exact"/>
              <w:rPr>
                <w:rFonts w:ascii="MS Shell Dlg" w:hAnsi="MS Shell Dlg" w:cs="MS Shell Dlg"/>
                <w:sz w:val="17"/>
                <w:szCs w:val="17"/>
              </w:rPr>
            </w:pPr>
            <w:r>
              <w:rPr>
                <w:rFonts w:ascii="Arial" w:hAnsi="Arial" w:cs="Arial"/>
                <w:sz w:val="24"/>
                <w:szCs w:val="24"/>
              </w:rPr>
              <w:t xml:space="preserve">    Louisville District </w:t>
            </w:r>
            <w:r w:rsidRPr="008C0162">
              <w:rPr>
                <w:rFonts w:ascii="Arial" w:hAnsi="Arial" w:cs="Arial"/>
                <w:sz w:val="18"/>
                <w:szCs w:val="18"/>
              </w:rPr>
              <w:t>®</w:t>
            </w:r>
          </w:p>
          <w:p w:rsidR="007650E4" w:rsidRDefault="007650E4" w:rsidP="00FE3D53">
            <w:pPr>
              <w:widowControl/>
              <w:tabs>
                <w:tab w:val="left" w:pos="660"/>
                <w:tab w:val="left" w:pos="1320"/>
                <w:tab w:val="left" w:pos="1980"/>
                <w:tab w:val="left" w:pos="2640"/>
                <w:tab w:val="left" w:pos="3300"/>
                <w:tab w:val="left" w:pos="3960"/>
              </w:tabs>
              <w:suppressAutoHyphens/>
              <w:spacing w:before="18" w:line="264" w:lineRule="atLeast"/>
              <w:rPr>
                <w:rFonts w:ascii="Arial" w:hAnsi="Arial" w:cs="Arial"/>
                <w:b/>
                <w:bCs/>
                <w:sz w:val="24"/>
                <w:szCs w:val="24"/>
              </w:rPr>
            </w:pPr>
          </w:p>
          <w:p w:rsidR="000250F0" w:rsidRDefault="00D41CA3" w:rsidP="00FE3D53">
            <w:pPr>
              <w:widowControl/>
              <w:tabs>
                <w:tab w:val="left" w:pos="660"/>
                <w:tab w:val="left" w:pos="1320"/>
                <w:tab w:val="left" w:pos="1980"/>
                <w:tab w:val="left" w:pos="2640"/>
                <w:tab w:val="left" w:pos="3300"/>
                <w:tab w:val="left" w:pos="3960"/>
              </w:tabs>
              <w:suppressAutoHyphens/>
              <w:spacing w:line="264" w:lineRule="atLeast"/>
              <w:rPr>
                <w:rFonts w:ascii="Arial" w:hAnsi="Arial" w:cs="Arial"/>
                <w:sz w:val="24"/>
                <w:szCs w:val="24"/>
              </w:rPr>
            </w:pPr>
            <w:r>
              <w:rPr>
                <w:rFonts w:ascii="Arial" w:hAnsi="Arial" w:cs="Arial"/>
                <w:b/>
                <w:bCs/>
                <w:sz w:val="24"/>
                <w:szCs w:val="24"/>
              </w:rPr>
              <w:t xml:space="preserve">  </w:t>
            </w:r>
          </w:p>
          <w:p w:rsidR="007650E4" w:rsidRDefault="007650E4" w:rsidP="00FE3D53">
            <w:pPr>
              <w:widowControl/>
              <w:tabs>
                <w:tab w:val="left" w:pos="660"/>
                <w:tab w:val="left" w:pos="1320"/>
                <w:tab w:val="left" w:pos="1980"/>
                <w:tab w:val="left" w:pos="2640"/>
                <w:tab w:val="left" w:pos="3300"/>
                <w:tab w:val="left" w:pos="3960"/>
              </w:tabs>
              <w:suppressAutoHyphens/>
              <w:spacing w:after="68" w:line="264" w:lineRule="atLeast"/>
              <w:rPr>
                <w:rFonts w:ascii="Arial" w:hAnsi="Arial" w:cs="Arial"/>
                <w:sz w:val="24"/>
                <w:szCs w:val="24"/>
              </w:rPr>
            </w:pPr>
          </w:p>
        </w:tc>
        <w:tc>
          <w:tcPr>
            <w:tcW w:w="6726" w:type="dxa"/>
            <w:tcBorders>
              <w:top w:val="single" w:sz="7" w:space="0" w:color="auto"/>
              <w:left w:val="nil"/>
              <w:bottom w:val="single" w:sz="18" w:space="0" w:color="auto"/>
              <w:right w:val="nil"/>
            </w:tcBorders>
          </w:tcPr>
          <w:p w:rsidR="007650E4" w:rsidRDefault="007650E4" w:rsidP="00FE3D53">
            <w:pPr>
              <w:widowControl/>
              <w:tabs>
                <w:tab w:val="left" w:pos="660"/>
                <w:tab w:val="left" w:pos="1320"/>
                <w:tab w:val="left" w:pos="1980"/>
                <w:tab w:val="left" w:pos="2640"/>
                <w:tab w:val="left" w:pos="3300"/>
                <w:tab w:val="left" w:pos="3960"/>
              </w:tabs>
              <w:suppressAutoHyphens/>
              <w:spacing w:before="18" w:line="264" w:lineRule="atLeast"/>
              <w:rPr>
                <w:rFonts w:ascii="Arial" w:hAnsi="Arial" w:cs="Arial"/>
                <w:sz w:val="16"/>
                <w:szCs w:val="16"/>
              </w:rPr>
            </w:pPr>
            <w:r>
              <w:rPr>
                <w:rFonts w:ascii="Arial" w:hAnsi="Arial" w:cs="Arial"/>
                <w:sz w:val="16"/>
                <w:szCs w:val="16"/>
              </w:rPr>
              <w:t>Please address all comments and inquiries to:</w:t>
            </w:r>
          </w:p>
          <w:p w:rsidR="007650E4" w:rsidRDefault="007650E4" w:rsidP="00FE3D53">
            <w:pPr>
              <w:widowControl/>
              <w:tabs>
                <w:tab w:val="left" w:pos="660"/>
                <w:tab w:val="left" w:pos="1320"/>
                <w:tab w:val="left" w:pos="1980"/>
                <w:tab w:val="left" w:pos="2640"/>
                <w:tab w:val="left" w:pos="3300"/>
                <w:tab w:val="left" w:pos="3960"/>
              </w:tabs>
              <w:suppressAutoHyphens/>
              <w:spacing w:line="264" w:lineRule="atLeast"/>
              <w:rPr>
                <w:rFonts w:ascii="Arial" w:hAnsi="Arial" w:cs="Arial"/>
                <w:sz w:val="16"/>
                <w:szCs w:val="16"/>
              </w:rPr>
            </w:pPr>
            <w:r>
              <w:rPr>
                <w:rFonts w:ascii="Arial" w:hAnsi="Arial" w:cs="Arial"/>
                <w:sz w:val="16"/>
                <w:szCs w:val="16"/>
              </w:rPr>
              <w:t>U.S. Army Corps of Engineers</w:t>
            </w:r>
          </w:p>
          <w:p w:rsidR="007650E4" w:rsidRDefault="007650E4" w:rsidP="00FE3D53">
            <w:pPr>
              <w:widowControl/>
              <w:tabs>
                <w:tab w:val="left" w:pos="660"/>
                <w:tab w:val="left" w:pos="1320"/>
                <w:tab w:val="left" w:pos="1980"/>
                <w:tab w:val="left" w:pos="2640"/>
                <w:tab w:val="left" w:pos="3300"/>
                <w:tab w:val="left" w:pos="3960"/>
              </w:tabs>
              <w:suppressAutoHyphens/>
              <w:spacing w:line="264" w:lineRule="atLeast"/>
              <w:rPr>
                <w:rFonts w:ascii="Arial" w:hAnsi="Arial" w:cs="Arial"/>
                <w:sz w:val="16"/>
                <w:szCs w:val="16"/>
              </w:rPr>
            </w:pPr>
            <w:r>
              <w:rPr>
                <w:rFonts w:ascii="Arial" w:hAnsi="Arial" w:cs="Arial"/>
                <w:sz w:val="16"/>
                <w:szCs w:val="16"/>
              </w:rPr>
              <w:t>ATTN:</w:t>
            </w:r>
            <w:r w:rsidR="00517A46">
              <w:rPr>
                <w:rFonts w:ascii="Arial" w:hAnsi="Arial" w:cs="Arial"/>
                <w:sz w:val="16"/>
                <w:szCs w:val="16"/>
              </w:rPr>
              <w:t xml:space="preserve"> </w:t>
            </w:r>
            <w:r w:rsidR="002F1498">
              <w:rPr>
                <w:rFonts w:ascii="Arial" w:hAnsi="Arial" w:cs="Arial"/>
                <w:sz w:val="16"/>
                <w:szCs w:val="16"/>
              </w:rPr>
              <w:t xml:space="preserve">Ms. Stacey M. Jensen, </w:t>
            </w:r>
            <w:r>
              <w:rPr>
                <w:rFonts w:ascii="Arial" w:hAnsi="Arial" w:cs="Arial"/>
                <w:sz w:val="16"/>
                <w:szCs w:val="16"/>
              </w:rPr>
              <w:t>CE</w:t>
            </w:r>
            <w:r w:rsidR="002F1498">
              <w:rPr>
                <w:rFonts w:ascii="Arial" w:hAnsi="Arial" w:cs="Arial"/>
                <w:sz w:val="16"/>
                <w:szCs w:val="16"/>
              </w:rPr>
              <w:t>CW-CO-R</w:t>
            </w:r>
          </w:p>
          <w:p w:rsidR="007650E4" w:rsidRDefault="00BD1563" w:rsidP="00FE3D53">
            <w:pPr>
              <w:widowControl/>
              <w:tabs>
                <w:tab w:val="left" w:pos="660"/>
                <w:tab w:val="left" w:pos="1320"/>
                <w:tab w:val="left" w:pos="1980"/>
                <w:tab w:val="left" w:pos="2640"/>
                <w:tab w:val="left" w:pos="3300"/>
                <w:tab w:val="left" w:pos="3960"/>
              </w:tabs>
              <w:suppressAutoHyphens/>
              <w:spacing w:line="264" w:lineRule="atLeast"/>
              <w:rPr>
                <w:rFonts w:ascii="Arial" w:hAnsi="Arial" w:cs="Arial"/>
                <w:sz w:val="16"/>
                <w:szCs w:val="16"/>
              </w:rPr>
            </w:pPr>
            <w:r>
              <w:rPr>
                <w:rFonts w:ascii="Arial" w:hAnsi="Arial" w:cs="Arial"/>
                <w:sz w:val="16"/>
                <w:szCs w:val="16"/>
              </w:rPr>
              <w:t>441 G Street, NW</w:t>
            </w:r>
          </w:p>
          <w:p w:rsidR="00BD1563" w:rsidRDefault="00BD1563" w:rsidP="00FE3D53">
            <w:pPr>
              <w:widowControl/>
              <w:tabs>
                <w:tab w:val="left" w:pos="660"/>
                <w:tab w:val="left" w:pos="1320"/>
                <w:tab w:val="left" w:pos="1980"/>
                <w:tab w:val="left" w:pos="2640"/>
                <w:tab w:val="left" w:pos="3300"/>
                <w:tab w:val="left" w:pos="3960"/>
              </w:tabs>
              <w:suppressAutoHyphens/>
              <w:spacing w:line="264" w:lineRule="atLeast"/>
              <w:rPr>
                <w:rFonts w:ascii="Arial" w:hAnsi="Arial" w:cs="Arial"/>
                <w:sz w:val="16"/>
                <w:szCs w:val="16"/>
              </w:rPr>
            </w:pPr>
            <w:r>
              <w:rPr>
                <w:rFonts w:ascii="Arial" w:hAnsi="Arial" w:cs="Arial"/>
                <w:sz w:val="16"/>
                <w:szCs w:val="16"/>
              </w:rPr>
              <w:t>Washington, DC 20314</w:t>
            </w:r>
          </w:p>
          <w:p w:rsidR="000250F0" w:rsidRDefault="0012092A" w:rsidP="00FE3D53">
            <w:pPr>
              <w:widowControl/>
              <w:tabs>
                <w:tab w:val="right" w:pos="6516"/>
              </w:tabs>
              <w:suppressAutoHyphens/>
              <w:spacing w:after="68" w:line="264" w:lineRule="atLeast"/>
              <w:rPr>
                <w:rFonts w:ascii="Arial" w:hAnsi="Arial" w:cs="Arial"/>
                <w:sz w:val="16"/>
                <w:szCs w:val="16"/>
              </w:rPr>
            </w:pPr>
            <w:r>
              <w:rPr>
                <w:rFonts w:ascii="Arial" w:hAnsi="Arial" w:cs="Arial"/>
                <w:sz w:val="16"/>
                <w:szCs w:val="16"/>
              </w:rPr>
              <w:t>Louisville, KY 40201-0059</w:t>
            </w:r>
          </w:p>
          <w:p w:rsidR="007650E4" w:rsidRDefault="00BD1563" w:rsidP="00BD1563">
            <w:pPr>
              <w:widowControl/>
              <w:tabs>
                <w:tab w:val="right" w:pos="6516"/>
              </w:tabs>
              <w:suppressAutoHyphens/>
              <w:spacing w:after="68" w:line="264" w:lineRule="atLeast"/>
              <w:rPr>
                <w:rFonts w:ascii="Arial" w:hAnsi="Arial" w:cs="Arial"/>
                <w:sz w:val="16"/>
                <w:szCs w:val="16"/>
              </w:rPr>
            </w:pPr>
            <w:hyperlink r:id="rId9" w:history="1">
              <w:r w:rsidRPr="00276507">
                <w:rPr>
                  <w:rStyle w:val="Hyperlink"/>
                  <w:rFonts w:ascii="Arial" w:hAnsi="Arial" w:cs="Arial"/>
                  <w:sz w:val="18"/>
                  <w:szCs w:val="18"/>
                </w:rPr>
                <w:t>USACE CWA RULE@usace.army.mil</w:t>
              </w:r>
            </w:hyperlink>
            <w:r w:rsidR="007650E4">
              <w:rPr>
                <w:rFonts w:ascii="Arial" w:hAnsi="Arial" w:cs="Arial"/>
                <w:sz w:val="16"/>
                <w:szCs w:val="16"/>
              </w:rPr>
              <w:tab/>
              <w:t xml:space="preserve">Phone: </w:t>
            </w:r>
            <w:r>
              <w:rPr>
                <w:rFonts w:ascii="Arial" w:hAnsi="Arial" w:cs="Arial"/>
                <w:sz w:val="16"/>
                <w:szCs w:val="16"/>
              </w:rPr>
              <w:t>2</w:t>
            </w:r>
            <w:r w:rsidR="0012092A">
              <w:rPr>
                <w:rFonts w:ascii="Arial" w:hAnsi="Arial" w:cs="Arial"/>
                <w:sz w:val="16"/>
                <w:szCs w:val="16"/>
              </w:rPr>
              <w:t>02</w:t>
            </w:r>
            <w:r w:rsidR="00517A46">
              <w:rPr>
                <w:rFonts w:ascii="Arial" w:hAnsi="Arial" w:cs="Arial"/>
                <w:sz w:val="16"/>
                <w:szCs w:val="16"/>
              </w:rPr>
              <w:t>-</w:t>
            </w:r>
            <w:r>
              <w:rPr>
                <w:rFonts w:ascii="Arial" w:hAnsi="Arial" w:cs="Arial"/>
                <w:sz w:val="16"/>
                <w:szCs w:val="16"/>
              </w:rPr>
              <w:t>761</w:t>
            </w:r>
            <w:r w:rsidR="00517A46">
              <w:rPr>
                <w:rFonts w:ascii="Arial" w:hAnsi="Arial" w:cs="Arial"/>
                <w:sz w:val="16"/>
                <w:szCs w:val="16"/>
              </w:rPr>
              <w:t>-</w:t>
            </w:r>
            <w:r>
              <w:rPr>
                <w:rFonts w:ascii="Arial" w:hAnsi="Arial" w:cs="Arial"/>
                <w:sz w:val="16"/>
                <w:szCs w:val="16"/>
              </w:rPr>
              <w:t>5856</w:t>
            </w:r>
          </w:p>
        </w:tc>
      </w:tr>
    </w:tbl>
    <w:p w:rsidR="00E10D02" w:rsidRDefault="00E10D02" w:rsidP="00FE3D53">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sectPr w:rsidR="00E10D02" w:rsidSect="004D7F38">
          <w:headerReference w:type="default" r:id="rId10"/>
          <w:footerReference w:type="even" r:id="rId11"/>
          <w:footerReference w:type="default" r:id="rId12"/>
          <w:type w:val="continuous"/>
          <w:pgSz w:w="12240" w:h="15840"/>
          <w:pgMar w:top="432" w:right="1320" w:bottom="1080" w:left="1320" w:header="432" w:footer="1080" w:gutter="0"/>
          <w:cols w:space="720"/>
          <w:noEndnote/>
          <w:titlePg/>
        </w:sectPr>
      </w:pPr>
    </w:p>
    <w:p w:rsidR="002F1498" w:rsidRDefault="002F1498" w:rsidP="002F1498">
      <w:pPr>
        <w:pStyle w:val="NoSpacing"/>
        <w:jc w:val="center"/>
        <w:rPr>
          <w:rFonts w:ascii="Times New Roman" w:hAnsi="Times New Roman" w:cs="Times New Roman"/>
          <w:b/>
          <w:sz w:val="24"/>
          <w:szCs w:val="24"/>
        </w:rPr>
      </w:pPr>
    </w:p>
    <w:p w:rsidR="002F1498" w:rsidRPr="00303F5F" w:rsidRDefault="002F1498" w:rsidP="002F1498">
      <w:pPr>
        <w:pStyle w:val="NoSpacing"/>
        <w:jc w:val="center"/>
        <w:rPr>
          <w:rFonts w:ascii="Times New Roman" w:hAnsi="Times New Roman" w:cs="Times New Roman"/>
          <w:b/>
          <w:sz w:val="24"/>
          <w:szCs w:val="24"/>
        </w:rPr>
      </w:pPr>
      <w:r w:rsidRPr="00303F5F">
        <w:rPr>
          <w:rFonts w:ascii="Times New Roman" w:hAnsi="Times New Roman" w:cs="Times New Roman"/>
          <w:b/>
          <w:sz w:val="24"/>
          <w:szCs w:val="24"/>
        </w:rPr>
        <w:t>PUBLIC NOTICE</w:t>
      </w:r>
    </w:p>
    <w:p w:rsidR="002F1498" w:rsidRDefault="002F1498" w:rsidP="002F1498">
      <w:pPr>
        <w:pStyle w:val="NoSpacing"/>
        <w:jc w:val="center"/>
        <w:rPr>
          <w:rFonts w:ascii="Times New Roman" w:hAnsi="Times New Roman" w:cs="Times New Roman"/>
          <w:b/>
          <w:sz w:val="24"/>
          <w:szCs w:val="24"/>
        </w:rPr>
      </w:pPr>
      <w:r>
        <w:rPr>
          <w:rFonts w:ascii="Times New Roman" w:hAnsi="Times New Roman" w:cs="Times New Roman"/>
          <w:b/>
          <w:sz w:val="24"/>
          <w:szCs w:val="24"/>
        </w:rPr>
        <w:t>CLEAN WATER ACT INTERPRETIVE RULE FOR 404(f)(1)(A)</w:t>
      </w:r>
    </w:p>
    <w:p w:rsidR="002F1498" w:rsidRPr="00303F5F" w:rsidRDefault="002F1498" w:rsidP="002F1498">
      <w:pPr>
        <w:pStyle w:val="NoSpacing"/>
        <w:jc w:val="center"/>
        <w:rPr>
          <w:rFonts w:ascii="Times New Roman" w:hAnsi="Times New Roman" w:cs="Times New Roman"/>
          <w:b/>
          <w:sz w:val="24"/>
          <w:szCs w:val="24"/>
        </w:rPr>
      </w:pPr>
      <w:r w:rsidRPr="00303F5F">
        <w:rPr>
          <w:rFonts w:ascii="Times New Roman" w:hAnsi="Times New Roman" w:cs="Times New Roman"/>
          <w:b/>
          <w:sz w:val="24"/>
          <w:szCs w:val="24"/>
        </w:rPr>
        <w:t>WITHDRAWAL</w:t>
      </w:r>
    </w:p>
    <w:p w:rsidR="002F1498" w:rsidRPr="00303F5F" w:rsidRDefault="002F1498" w:rsidP="002F1498">
      <w:pPr>
        <w:pStyle w:val="NoSpacing"/>
        <w:jc w:val="center"/>
        <w:rPr>
          <w:rFonts w:ascii="Times New Roman" w:hAnsi="Times New Roman" w:cs="Times New Roman"/>
          <w:b/>
          <w:sz w:val="24"/>
          <w:szCs w:val="24"/>
        </w:rPr>
      </w:pPr>
    </w:p>
    <w:p w:rsidR="002F1498" w:rsidRPr="002F1498" w:rsidRDefault="002F1498" w:rsidP="002F1498">
      <w:pPr>
        <w:widowControl/>
        <w:ind w:firstLine="720"/>
        <w:rPr>
          <w:rFonts w:ascii="Times New Roman" w:eastAsiaTheme="minorHAnsi" w:hAnsi="Times New Roman" w:cs="Times New Roman"/>
          <w:color w:val="000000"/>
        </w:rPr>
      </w:pPr>
      <w:r w:rsidRPr="002F1498">
        <w:rPr>
          <w:rFonts w:ascii="Times New Roman" w:eastAsiaTheme="minorHAnsi" w:hAnsi="Times New Roman" w:cs="Times New Roman"/>
          <w:color w:val="000000"/>
        </w:rPr>
        <w:t>The U.S. Environmental Protection Agency (EPA) and the U.S. Department of the Army</w:t>
      </w:r>
    </w:p>
    <w:p w:rsidR="002F1498" w:rsidRPr="002F1498" w:rsidRDefault="002F1498" w:rsidP="002F1498">
      <w:pPr>
        <w:pStyle w:val="Default"/>
        <w:rPr>
          <w:rFonts w:ascii="Times New Roman" w:hAnsi="Times New Roman" w:cs="Times New Roman"/>
          <w:sz w:val="22"/>
          <w:szCs w:val="22"/>
        </w:rPr>
      </w:pPr>
      <w:r w:rsidRPr="002F1498">
        <w:rPr>
          <w:rFonts w:ascii="Times New Roman" w:hAnsi="Times New Roman" w:cs="Times New Roman"/>
          <w:sz w:val="22"/>
          <w:szCs w:val="22"/>
        </w:rPr>
        <w:t xml:space="preserve">(Army) are announcing the withdrawal of an interpretive rule addressing the exemption from permitting provided under section 404(f)(1)(A) of the Clean Water Act (CWA).  The agencies want to make clear that the statutory exemption of 404(f)(1)(A) still remains available for use when applicable for discharges of dredged and/or fill material associated with normal farming, silviculture, and ranching activities that are part of an established operation and that do not have as their purpose bringing an area of waters of the U.S. into a use to which it was not previously subject, where the flow or circulation of the waters of the U.S. may be impaired or the reach of such waters be reduced (see 33 CFR 323.4 for more information).   </w:t>
      </w:r>
    </w:p>
    <w:p w:rsidR="002F1498" w:rsidRPr="002F1498" w:rsidRDefault="002F1498" w:rsidP="002F1498">
      <w:pPr>
        <w:widowControl/>
        <w:rPr>
          <w:rFonts w:ascii="Times New Roman" w:eastAsiaTheme="minorHAnsi" w:hAnsi="Times New Roman" w:cs="Times New Roman"/>
          <w:color w:val="000000"/>
        </w:rPr>
      </w:pPr>
    </w:p>
    <w:p w:rsidR="002F1498" w:rsidRPr="002F1498" w:rsidRDefault="002F1498" w:rsidP="002F1498">
      <w:pPr>
        <w:widowControl/>
        <w:ind w:firstLine="720"/>
        <w:rPr>
          <w:rFonts w:ascii="Times New Roman" w:hAnsi="Times New Roman" w:cs="Times New Roman"/>
        </w:rPr>
      </w:pPr>
      <w:r w:rsidRPr="002F1498">
        <w:rPr>
          <w:rFonts w:ascii="Times New Roman" w:eastAsiaTheme="minorHAnsi" w:hAnsi="Times New Roman" w:cs="Times New Roman"/>
          <w:color w:val="000000"/>
        </w:rPr>
        <w:t xml:space="preserve">On March 25, 2014, the Agencies signed an interpretive rule, “Interpretive Rule Regarding Applicability of the Exemption from Permitting under Section 404(f)(1)(A) of the Clean Water Act to Certain Agricultural Conservation Practices,” that addressed applicability of the permitting exemption provided under section 404(f)(1)(A) of the CWA to discharges of dredged or fill material associated with certain agricultural conservation practices. Congress subsequently directed the agencies to withdraw this interpretive rule. See, </w:t>
      </w:r>
      <w:r w:rsidRPr="002F1498">
        <w:rPr>
          <w:rFonts w:ascii="Times New Roman" w:eastAsiaTheme="minorHAnsi" w:hAnsi="Times New Roman" w:cs="Times New Roman"/>
          <w:i/>
          <w:iCs/>
          <w:color w:val="000000"/>
        </w:rPr>
        <w:t>Consolidated and Further Continuing Appropriation Act, 2015</w:t>
      </w:r>
      <w:r w:rsidRPr="002F1498">
        <w:rPr>
          <w:rFonts w:ascii="Times New Roman" w:eastAsiaTheme="minorHAnsi" w:hAnsi="Times New Roman" w:cs="Times New Roman"/>
          <w:color w:val="000000"/>
        </w:rPr>
        <w:t>, Division D, section 112, Pub. L. No. 113-235.</w:t>
      </w:r>
    </w:p>
    <w:p w:rsidR="002F1498" w:rsidRPr="002F1498" w:rsidRDefault="002F1498" w:rsidP="002F1498">
      <w:pPr>
        <w:widowControl/>
        <w:rPr>
          <w:rFonts w:ascii="Times New Roman" w:eastAsiaTheme="minorHAnsi" w:hAnsi="Times New Roman" w:cs="Times New Roman"/>
        </w:rPr>
      </w:pPr>
    </w:p>
    <w:p w:rsidR="002F1498" w:rsidRPr="002F1498" w:rsidRDefault="002F1498" w:rsidP="002F1498">
      <w:pPr>
        <w:widowControl/>
        <w:ind w:firstLine="720"/>
        <w:rPr>
          <w:rFonts w:ascii="Times New Roman" w:hAnsi="Times New Roman" w:cs="Times New Roman"/>
        </w:rPr>
      </w:pPr>
      <w:r w:rsidRPr="002F1498">
        <w:rPr>
          <w:rFonts w:ascii="Times New Roman" w:eastAsiaTheme="minorHAnsi" w:hAnsi="Times New Roman" w:cs="Times New Roman"/>
          <w:color w:val="000000"/>
        </w:rPr>
        <w:t xml:space="preserve">On January 29, 2015, the agencies signed a memorandum withdrawing the interpretive rule and this action is effective immediately. The Memorandum of Understanding signed on March 25, 2014, by EPA, Army, and the U.S. Department of Agriculture, concerning the interpretive rule is also withdrawn. The signed memorandum withdrawing the interpretive rule is available at </w:t>
      </w:r>
      <w:hyperlink r:id="rId13" w:history="1">
        <w:r w:rsidRPr="002F1498">
          <w:rPr>
            <w:rStyle w:val="Hyperlink"/>
            <w:rFonts w:ascii="Times New Roman" w:eastAsiaTheme="minorHAnsi" w:hAnsi="Times New Roman" w:cs="Times New Roman"/>
          </w:rPr>
          <w:t>http://www.usace.army.mil/Missions/CivilWorks/RegulatoryProgramandPermits.aspx</w:t>
        </w:r>
      </w:hyperlink>
      <w:r w:rsidRPr="002F1498">
        <w:rPr>
          <w:rFonts w:ascii="Times New Roman" w:eastAsiaTheme="minorHAnsi" w:hAnsi="Times New Roman" w:cs="Times New Roman"/>
          <w:color w:val="000000"/>
        </w:rPr>
        <w:t>.</w:t>
      </w:r>
      <w:r w:rsidRPr="002F1498">
        <w:rPr>
          <w:rFonts w:ascii="Times New Roman" w:eastAsiaTheme="minorHAnsi" w:hAnsi="Times New Roman" w:cs="Times New Roman"/>
        </w:rPr>
        <w:t xml:space="preserve">  The </w:t>
      </w:r>
      <w:r w:rsidRPr="002F1498">
        <w:rPr>
          <w:rFonts w:ascii="Times New Roman" w:hAnsi="Times New Roman" w:cs="Times New Roman"/>
        </w:rPr>
        <w:t xml:space="preserve">Federal Register Notice announcing the withdrawal will be published at </w:t>
      </w:r>
      <w:hyperlink r:id="rId14" w:history="1">
        <w:r w:rsidRPr="002F1498">
          <w:rPr>
            <w:rStyle w:val="Hyperlink"/>
            <w:rFonts w:ascii="Times New Roman" w:hAnsi="Times New Roman" w:cs="Times New Roman"/>
          </w:rPr>
          <w:t>www.federalregister.gov</w:t>
        </w:r>
      </w:hyperlink>
      <w:r w:rsidRPr="002F1498">
        <w:rPr>
          <w:rFonts w:ascii="Times New Roman" w:hAnsi="Times New Roman" w:cs="Times New Roman"/>
        </w:rPr>
        <w:t>. Similar public notices are being published concurrently by other Corps district offices.</w:t>
      </w:r>
    </w:p>
    <w:p w:rsidR="002F1498" w:rsidRPr="002F1498" w:rsidRDefault="002F1498" w:rsidP="002F1498">
      <w:pPr>
        <w:pStyle w:val="NoSpacing"/>
        <w:rPr>
          <w:rFonts w:ascii="Times New Roman" w:hAnsi="Times New Roman" w:cs="Times New Roman"/>
        </w:rPr>
      </w:pPr>
    </w:p>
    <w:p w:rsidR="002F1498" w:rsidRPr="002F1498" w:rsidRDefault="002F1498" w:rsidP="002F1498">
      <w:pPr>
        <w:pStyle w:val="NoSpacing"/>
        <w:rPr>
          <w:rFonts w:ascii="Times New Roman" w:hAnsi="Times New Roman" w:cs="Times New Roman"/>
          <w:color w:val="000000"/>
        </w:rPr>
      </w:pPr>
      <w:r w:rsidRPr="002F1498">
        <w:rPr>
          <w:rFonts w:ascii="Times New Roman" w:hAnsi="Times New Roman" w:cs="Times New Roman"/>
          <w:b/>
        </w:rPr>
        <w:t>DATES:</w:t>
      </w:r>
      <w:r w:rsidRPr="002F1498">
        <w:rPr>
          <w:rFonts w:ascii="Times New Roman" w:hAnsi="Times New Roman" w:cs="Times New Roman"/>
        </w:rPr>
        <w:t xml:space="preserve"> </w:t>
      </w:r>
      <w:r w:rsidRPr="002F1498">
        <w:rPr>
          <w:rFonts w:ascii="Times New Roman" w:hAnsi="Times New Roman" w:cs="Times New Roman"/>
          <w:color w:val="000000"/>
        </w:rPr>
        <w:t>The interpretive rule is withdrawn as of January 29, 2015.</w:t>
      </w:r>
    </w:p>
    <w:p w:rsidR="002F1498" w:rsidRPr="002F1498" w:rsidRDefault="002F1498" w:rsidP="002F1498">
      <w:pPr>
        <w:pStyle w:val="NoSpacing"/>
        <w:rPr>
          <w:rFonts w:ascii="Times New Roman" w:hAnsi="Times New Roman" w:cs="Times New Roman"/>
        </w:rPr>
      </w:pPr>
    </w:p>
    <w:p w:rsidR="002F1498" w:rsidRPr="002F1498" w:rsidRDefault="002F1498" w:rsidP="002F1498">
      <w:pPr>
        <w:pStyle w:val="NoSpacing"/>
        <w:ind w:firstLine="720"/>
        <w:rPr>
          <w:rFonts w:ascii="Times New Roman" w:hAnsi="Times New Roman" w:cs="Times New Roman"/>
          <w:color w:val="000000"/>
        </w:rPr>
      </w:pPr>
      <w:r w:rsidRPr="002F1498">
        <w:rPr>
          <w:rFonts w:ascii="Times New Roman" w:hAnsi="Times New Roman" w:cs="Times New Roman"/>
        </w:rPr>
        <w:t>For further information please contact: Ms. Stacey M. Jensen, Regulatory Community of Practice (CECW–CO–R), U.S. Army Corps of Engineers, 441 G Street, NW, Washington, DC 20314; telephone number 202–761–5856; e-mail address:</w:t>
      </w:r>
      <w:r w:rsidRPr="002F1498">
        <w:rPr>
          <w:rFonts w:ascii="Times New Roman" w:hAnsi="Times New Roman" w:cs="Times New Roman"/>
          <w:color w:val="000000"/>
        </w:rPr>
        <w:t xml:space="preserve"> </w:t>
      </w:r>
      <w:hyperlink r:id="rId15" w:history="1">
        <w:r w:rsidRPr="002F1498">
          <w:rPr>
            <w:rStyle w:val="Hyperlink"/>
            <w:rFonts w:ascii="Times New Roman" w:hAnsi="Times New Roman" w:cs="Times New Roman"/>
          </w:rPr>
          <w:t>USACE_CWA_RULE@usace.army.mil</w:t>
        </w:r>
      </w:hyperlink>
      <w:r w:rsidRPr="002F1498">
        <w:rPr>
          <w:rFonts w:ascii="Times New Roman" w:hAnsi="Times New Roman" w:cs="Times New Roman"/>
        </w:rPr>
        <w:t>.</w:t>
      </w:r>
    </w:p>
    <w:p w:rsidR="002F1498" w:rsidRDefault="002F1498" w:rsidP="002F1498">
      <w:pPr>
        <w:pStyle w:val="NoSpacing"/>
        <w:ind w:firstLine="720"/>
        <w:rPr>
          <w:rFonts w:ascii="Times New Roman" w:hAnsi="Times New Roman" w:cs="Times New Roman"/>
          <w:iCs/>
          <w:sz w:val="24"/>
          <w:szCs w:val="24"/>
        </w:rPr>
      </w:pPr>
    </w:p>
    <w:p w:rsidR="002E2001" w:rsidRPr="00AD6A29" w:rsidRDefault="002E2001" w:rsidP="0012092A">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b/>
          <w:color w:val="FF0000"/>
          <w:sz w:val="28"/>
          <w:szCs w:val="28"/>
        </w:rPr>
      </w:pPr>
    </w:p>
    <w:sectPr w:rsidR="002E2001" w:rsidRPr="00AD6A29" w:rsidSect="0012092A">
      <w:headerReference w:type="default" r:id="rId16"/>
      <w:type w:val="continuous"/>
      <w:pgSz w:w="12240" w:h="15840" w:code="1"/>
      <w:pgMar w:top="540" w:right="1440" w:bottom="1440" w:left="1440" w:header="720"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498" w:rsidRDefault="002F1498">
      <w:pPr>
        <w:widowControl/>
        <w:spacing w:line="20" w:lineRule="exact"/>
        <w:rPr>
          <w:rFonts w:cs="Times New Roman"/>
          <w:sz w:val="24"/>
          <w:szCs w:val="24"/>
        </w:rPr>
      </w:pPr>
    </w:p>
  </w:endnote>
  <w:endnote w:type="continuationSeparator" w:id="0">
    <w:p w:rsidR="002F1498" w:rsidRDefault="002F1498" w:rsidP="007650E4">
      <w:r>
        <w:rPr>
          <w:rFonts w:cs="Times New Roman"/>
          <w:sz w:val="24"/>
          <w:szCs w:val="24"/>
        </w:rPr>
        <w:t xml:space="preserve"> </w:t>
      </w:r>
    </w:p>
  </w:endnote>
  <w:endnote w:type="continuationNotice" w:id="1">
    <w:p w:rsidR="002F1498" w:rsidRDefault="002F1498" w:rsidP="007650E4">
      <w:r>
        <w:rPr>
          <w:rFonts w:cs="Times New Roman"/>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20B0603020202030204"/>
    <w:charset w:val="EE"/>
    <w:family w:val="swiss"/>
    <w:pitch w:val="variable"/>
    <w:sig w:usb0="00000005" w:usb1="00000000" w:usb2="00000000" w:usb3="00000000" w:csb0="00000002" w:csb1="00000000"/>
  </w:font>
  <w:font w:name="MS Shell Dlg">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98" w:rsidRDefault="002F1498" w:rsidP="00E94A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498" w:rsidRDefault="002F14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98" w:rsidRDefault="002F1498" w:rsidP="00E94A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1498" w:rsidRDefault="002F1498" w:rsidP="00D41C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498" w:rsidRDefault="002F1498" w:rsidP="007650E4">
      <w:r>
        <w:rPr>
          <w:rFonts w:cs="Times New Roman"/>
          <w:sz w:val="24"/>
          <w:szCs w:val="24"/>
        </w:rPr>
        <w:separator/>
      </w:r>
    </w:p>
  </w:footnote>
  <w:footnote w:type="continuationSeparator" w:id="0">
    <w:p w:rsidR="002F1498" w:rsidRDefault="002F1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98" w:rsidRDefault="002F1498">
    <w:pPr>
      <w:spacing w:after="140" w:line="100" w:lineRule="exact"/>
      <w:rPr>
        <w:rFonts w:cs="Times New Roman"/>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98" w:rsidRDefault="002F1498" w:rsidP="004B6F52">
    <w:pPr>
      <w:spacing w:line="240" w:lineRule="atLeast"/>
      <w:rPr>
        <w:rFonts w:ascii="Courier New" w:hAnsi="Courier New" w:cs="Courier New"/>
      </w:rPr>
    </w:pPr>
    <w:r>
      <w:rPr>
        <w:rFonts w:ascii="Courier New" w:hAnsi="Courier New" w:cs="Courier New"/>
      </w:rPr>
      <w:t>Operations Division</w:t>
    </w:r>
  </w:p>
  <w:p w:rsidR="002F1498" w:rsidRDefault="002F1498" w:rsidP="004B6F52">
    <w:pPr>
      <w:spacing w:line="240" w:lineRule="atLeast"/>
      <w:rPr>
        <w:rFonts w:ascii="Courier New" w:hAnsi="Courier New" w:cs="Courier New"/>
      </w:rPr>
    </w:pPr>
    <w:r>
      <w:rPr>
        <w:rFonts w:ascii="Courier New" w:hAnsi="Courier New" w:cs="Courier New"/>
      </w:rPr>
      <w:t>Regulatory Branch (West)</w:t>
    </w:r>
  </w:p>
  <w:p w:rsidR="002F1498" w:rsidRPr="004B6F52" w:rsidRDefault="002F1498" w:rsidP="004B6F52">
    <w:pPr>
      <w:spacing w:line="240" w:lineRule="atLeast"/>
      <w:rPr>
        <w:rFonts w:ascii="Courier New" w:hAnsi="Courier New" w:cs="Courier New"/>
      </w:rPr>
    </w:pPr>
    <w:r>
      <w:rPr>
        <w:rFonts w:ascii="Courier New" w:hAnsi="Courier New" w:cs="Courier New"/>
      </w:rPr>
      <w:t>Public Notice No. LRL-2014-947-gjd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hyphenationZone w:val="97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 w:id="1"/>
  </w:endnotePr>
  <w:compat/>
  <w:rsids>
    <w:rsidRoot w:val="007650E4"/>
    <w:rsid w:val="000250F0"/>
    <w:rsid w:val="00036AEE"/>
    <w:rsid w:val="00044FC8"/>
    <w:rsid w:val="000573C7"/>
    <w:rsid w:val="000903CA"/>
    <w:rsid w:val="0009116E"/>
    <w:rsid w:val="00093F6D"/>
    <w:rsid w:val="000A1759"/>
    <w:rsid w:val="000B40BF"/>
    <w:rsid w:val="0012092A"/>
    <w:rsid w:val="00125C4C"/>
    <w:rsid w:val="00141C6D"/>
    <w:rsid w:val="00145F35"/>
    <w:rsid w:val="001533FD"/>
    <w:rsid w:val="001B1E0C"/>
    <w:rsid w:val="001C6393"/>
    <w:rsid w:val="001D512D"/>
    <w:rsid w:val="001E35FB"/>
    <w:rsid w:val="001F013B"/>
    <w:rsid w:val="00207C07"/>
    <w:rsid w:val="00216C3D"/>
    <w:rsid w:val="00232C45"/>
    <w:rsid w:val="002668BA"/>
    <w:rsid w:val="00294EDA"/>
    <w:rsid w:val="002D111F"/>
    <w:rsid w:val="002E2001"/>
    <w:rsid w:val="002E74FC"/>
    <w:rsid w:val="002F1498"/>
    <w:rsid w:val="003075D9"/>
    <w:rsid w:val="003318C2"/>
    <w:rsid w:val="003378E7"/>
    <w:rsid w:val="00353E52"/>
    <w:rsid w:val="0035740E"/>
    <w:rsid w:val="00361F0A"/>
    <w:rsid w:val="00363E2C"/>
    <w:rsid w:val="00380723"/>
    <w:rsid w:val="003B3B93"/>
    <w:rsid w:val="003B4566"/>
    <w:rsid w:val="003D6DA0"/>
    <w:rsid w:val="003F2581"/>
    <w:rsid w:val="004007A1"/>
    <w:rsid w:val="0040080F"/>
    <w:rsid w:val="00414942"/>
    <w:rsid w:val="00442BC8"/>
    <w:rsid w:val="00465A08"/>
    <w:rsid w:val="00475B12"/>
    <w:rsid w:val="00493BF1"/>
    <w:rsid w:val="004A01D7"/>
    <w:rsid w:val="004B1E42"/>
    <w:rsid w:val="004B6F52"/>
    <w:rsid w:val="004D7F38"/>
    <w:rsid w:val="0051147B"/>
    <w:rsid w:val="00513EFB"/>
    <w:rsid w:val="00517A46"/>
    <w:rsid w:val="00553D5C"/>
    <w:rsid w:val="005610EB"/>
    <w:rsid w:val="005A79FA"/>
    <w:rsid w:val="005C5C46"/>
    <w:rsid w:val="005D3D67"/>
    <w:rsid w:val="005D7390"/>
    <w:rsid w:val="005E03B0"/>
    <w:rsid w:val="005E6319"/>
    <w:rsid w:val="005E7B91"/>
    <w:rsid w:val="00625011"/>
    <w:rsid w:val="00630C04"/>
    <w:rsid w:val="0067343C"/>
    <w:rsid w:val="006A0164"/>
    <w:rsid w:val="006B3FA7"/>
    <w:rsid w:val="006D1D52"/>
    <w:rsid w:val="006D3E18"/>
    <w:rsid w:val="006D463A"/>
    <w:rsid w:val="006D7765"/>
    <w:rsid w:val="00727364"/>
    <w:rsid w:val="007446AC"/>
    <w:rsid w:val="007650E4"/>
    <w:rsid w:val="007F1BCD"/>
    <w:rsid w:val="00804683"/>
    <w:rsid w:val="00822B3E"/>
    <w:rsid w:val="00855760"/>
    <w:rsid w:val="008C309A"/>
    <w:rsid w:val="008E7B15"/>
    <w:rsid w:val="008F28B2"/>
    <w:rsid w:val="00910771"/>
    <w:rsid w:val="009373D1"/>
    <w:rsid w:val="0094376E"/>
    <w:rsid w:val="00945DD5"/>
    <w:rsid w:val="009767D6"/>
    <w:rsid w:val="00993F7C"/>
    <w:rsid w:val="009B7162"/>
    <w:rsid w:val="009C06F8"/>
    <w:rsid w:val="009D5A18"/>
    <w:rsid w:val="009E0315"/>
    <w:rsid w:val="009F3B23"/>
    <w:rsid w:val="00A17877"/>
    <w:rsid w:val="00A6443C"/>
    <w:rsid w:val="00A91E94"/>
    <w:rsid w:val="00AA18FF"/>
    <w:rsid w:val="00AA4B56"/>
    <w:rsid w:val="00AD3800"/>
    <w:rsid w:val="00AD4002"/>
    <w:rsid w:val="00AD6A29"/>
    <w:rsid w:val="00AE5C47"/>
    <w:rsid w:val="00AF1D1D"/>
    <w:rsid w:val="00B2400F"/>
    <w:rsid w:val="00B33EAE"/>
    <w:rsid w:val="00B40871"/>
    <w:rsid w:val="00B45274"/>
    <w:rsid w:val="00B53C93"/>
    <w:rsid w:val="00BD1563"/>
    <w:rsid w:val="00BD5FEB"/>
    <w:rsid w:val="00BE15C1"/>
    <w:rsid w:val="00C0238A"/>
    <w:rsid w:val="00C071BC"/>
    <w:rsid w:val="00C1591A"/>
    <w:rsid w:val="00C4736C"/>
    <w:rsid w:val="00C57E6A"/>
    <w:rsid w:val="00C64125"/>
    <w:rsid w:val="00C823AC"/>
    <w:rsid w:val="00C95300"/>
    <w:rsid w:val="00CA5B31"/>
    <w:rsid w:val="00CE6485"/>
    <w:rsid w:val="00CF007F"/>
    <w:rsid w:val="00CF1B56"/>
    <w:rsid w:val="00D04210"/>
    <w:rsid w:val="00D41CA3"/>
    <w:rsid w:val="00D54A91"/>
    <w:rsid w:val="00D64AB0"/>
    <w:rsid w:val="00D85CD0"/>
    <w:rsid w:val="00E001CC"/>
    <w:rsid w:val="00E10D02"/>
    <w:rsid w:val="00E135EB"/>
    <w:rsid w:val="00E37701"/>
    <w:rsid w:val="00E43BFF"/>
    <w:rsid w:val="00E55473"/>
    <w:rsid w:val="00E94AED"/>
    <w:rsid w:val="00EA6862"/>
    <w:rsid w:val="00F10FBC"/>
    <w:rsid w:val="00F462AE"/>
    <w:rsid w:val="00F758A7"/>
    <w:rsid w:val="00FC268E"/>
    <w:rsid w:val="00FE3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cs="Courie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720" w:right="720"/>
    </w:pPr>
  </w:style>
  <w:style w:type="paragraph" w:styleId="TOC3">
    <w:name w:val="toc 3"/>
    <w:basedOn w:val="Normal"/>
    <w:next w:val="Normal"/>
    <w:semiHidden/>
    <w:pPr>
      <w:tabs>
        <w:tab w:val="right" w:leader="dot" w:pos="9360"/>
      </w:tabs>
      <w:suppressAutoHyphens/>
      <w:spacing w:line="240" w:lineRule="atLeast"/>
      <w:ind w:left="720" w:right="720"/>
    </w:pPr>
  </w:style>
  <w:style w:type="paragraph" w:styleId="TOC4">
    <w:name w:val="toc 4"/>
    <w:basedOn w:val="Normal"/>
    <w:next w:val="Normal"/>
    <w:semiHidden/>
    <w:pPr>
      <w:tabs>
        <w:tab w:val="right" w:leader="dot" w:pos="9360"/>
      </w:tabs>
      <w:suppressAutoHyphens/>
      <w:spacing w:line="240" w:lineRule="atLeast"/>
      <w:ind w:left="720" w:right="720"/>
    </w:pPr>
  </w:style>
  <w:style w:type="paragraph" w:styleId="TOC5">
    <w:name w:val="toc 5"/>
    <w:basedOn w:val="Normal"/>
    <w:next w:val="Normal"/>
    <w:semiHidden/>
    <w:pPr>
      <w:tabs>
        <w:tab w:val="right" w:leader="dot" w:pos="9360"/>
      </w:tabs>
      <w:suppressAutoHyphens/>
      <w:spacing w:line="240" w:lineRule="atLeast"/>
      <w:ind w:left="720" w:right="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720" w:hanging="720"/>
    </w:pPr>
  </w:style>
  <w:style w:type="paragraph" w:styleId="Index2">
    <w:name w:val="index 2"/>
    <w:basedOn w:val="Normal"/>
    <w:next w:val="Normal"/>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character" w:styleId="CommentReference">
    <w:name w:val="annotation reference"/>
    <w:basedOn w:val="DefaultParagraphFont"/>
    <w:semiHidden/>
    <w:rsid w:val="00E10D02"/>
    <w:rPr>
      <w:sz w:val="16"/>
      <w:szCs w:val="16"/>
    </w:rPr>
  </w:style>
  <w:style w:type="paragraph" w:styleId="CommentText">
    <w:name w:val="annotation text"/>
    <w:basedOn w:val="Normal"/>
    <w:semiHidden/>
    <w:rsid w:val="00E10D02"/>
    <w:rPr>
      <w:sz w:val="20"/>
      <w:szCs w:val="20"/>
    </w:rPr>
  </w:style>
  <w:style w:type="paragraph" w:styleId="CommentSubject">
    <w:name w:val="annotation subject"/>
    <w:basedOn w:val="CommentText"/>
    <w:next w:val="CommentText"/>
    <w:semiHidden/>
    <w:rsid w:val="00E10D02"/>
    <w:rPr>
      <w:b/>
      <w:bCs/>
    </w:rPr>
  </w:style>
  <w:style w:type="paragraph" w:styleId="BalloonText">
    <w:name w:val="Balloon Text"/>
    <w:basedOn w:val="Normal"/>
    <w:semiHidden/>
    <w:rsid w:val="00E10D02"/>
    <w:rPr>
      <w:rFonts w:ascii="Tahoma" w:hAnsi="Tahoma" w:cs="Tahoma"/>
      <w:sz w:val="16"/>
      <w:szCs w:val="16"/>
    </w:rPr>
  </w:style>
  <w:style w:type="paragraph" w:styleId="Header">
    <w:name w:val="header"/>
    <w:basedOn w:val="Normal"/>
    <w:rsid w:val="004B6F52"/>
    <w:pPr>
      <w:tabs>
        <w:tab w:val="center" w:pos="4320"/>
        <w:tab w:val="right" w:pos="8640"/>
      </w:tabs>
    </w:pPr>
  </w:style>
  <w:style w:type="paragraph" w:styleId="Footer">
    <w:name w:val="footer"/>
    <w:basedOn w:val="Normal"/>
    <w:rsid w:val="004B6F52"/>
    <w:pPr>
      <w:tabs>
        <w:tab w:val="center" w:pos="4320"/>
        <w:tab w:val="right" w:pos="8640"/>
      </w:tabs>
    </w:pPr>
  </w:style>
  <w:style w:type="character" w:styleId="PageNumber">
    <w:name w:val="page number"/>
    <w:basedOn w:val="DefaultParagraphFont"/>
    <w:rsid w:val="004D7F38"/>
  </w:style>
  <w:style w:type="character" w:styleId="Hyperlink">
    <w:name w:val="Hyperlink"/>
    <w:basedOn w:val="DefaultParagraphFont"/>
    <w:rsid w:val="00D41CA3"/>
    <w:rPr>
      <w:color w:val="0000FF"/>
      <w:u w:val="single"/>
    </w:rPr>
  </w:style>
  <w:style w:type="paragraph" w:styleId="DocumentMap">
    <w:name w:val="Document Map"/>
    <w:basedOn w:val="Normal"/>
    <w:semiHidden/>
    <w:rsid w:val="002E2001"/>
    <w:pPr>
      <w:shd w:val="clear" w:color="auto" w:fill="000080"/>
    </w:pPr>
    <w:rPr>
      <w:rFonts w:ascii="Tahoma" w:hAnsi="Tahoma" w:cs="Tahoma"/>
      <w:sz w:val="20"/>
      <w:szCs w:val="20"/>
    </w:rPr>
  </w:style>
  <w:style w:type="paragraph" w:customStyle="1" w:styleId="Default">
    <w:name w:val="Default"/>
    <w:rsid w:val="003F2581"/>
    <w:pPr>
      <w:autoSpaceDE w:val="0"/>
      <w:autoSpaceDN w:val="0"/>
      <w:adjustRightInd w:val="0"/>
    </w:pPr>
    <w:rPr>
      <w:rFonts w:ascii="Trebuchet MS" w:hAnsi="Trebuchet MS" w:cs="Trebuchet MS"/>
      <w:color w:val="000000"/>
      <w:sz w:val="24"/>
      <w:szCs w:val="24"/>
    </w:rPr>
  </w:style>
  <w:style w:type="paragraph" w:styleId="PlainText">
    <w:name w:val="Plain Text"/>
    <w:basedOn w:val="Normal"/>
    <w:link w:val="PlainTextChar"/>
    <w:uiPriority w:val="99"/>
    <w:unhideWhenUsed/>
    <w:rsid w:val="00CF1B56"/>
    <w:pPr>
      <w:widowControl/>
      <w:autoSpaceDE/>
      <w:autoSpaceDN/>
      <w:adjustRightInd/>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F1B56"/>
    <w:rPr>
      <w:rFonts w:ascii="Consolas" w:eastAsia="Calibri" w:hAnsi="Consolas" w:cs="Times New Roman"/>
      <w:sz w:val="21"/>
      <w:szCs w:val="21"/>
    </w:rPr>
  </w:style>
  <w:style w:type="paragraph" w:styleId="NoSpacing">
    <w:name w:val="No Spacing"/>
    <w:uiPriority w:val="1"/>
    <w:qFormat/>
    <w:rsid w:val="002F1498"/>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69676374">
      <w:bodyDiv w:val="1"/>
      <w:marLeft w:val="0"/>
      <w:marRight w:val="0"/>
      <w:marTop w:val="0"/>
      <w:marBottom w:val="0"/>
      <w:divBdr>
        <w:top w:val="none" w:sz="0" w:space="0" w:color="auto"/>
        <w:left w:val="none" w:sz="0" w:space="0" w:color="auto"/>
        <w:bottom w:val="none" w:sz="0" w:space="0" w:color="auto"/>
        <w:right w:val="none" w:sz="0" w:space="0" w:color="auto"/>
      </w:divBdr>
    </w:div>
    <w:div w:id="1248030788">
      <w:bodyDiv w:val="1"/>
      <w:marLeft w:val="0"/>
      <w:marRight w:val="0"/>
      <w:marTop w:val="0"/>
      <w:marBottom w:val="0"/>
      <w:divBdr>
        <w:top w:val="none" w:sz="0" w:space="0" w:color="auto"/>
        <w:left w:val="none" w:sz="0" w:space="0" w:color="auto"/>
        <w:bottom w:val="none" w:sz="0" w:space="0" w:color="auto"/>
        <w:right w:val="none" w:sz="0" w:space="0" w:color="auto"/>
      </w:divBdr>
    </w:div>
    <w:div w:id="1370378960">
      <w:bodyDiv w:val="1"/>
      <w:marLeft w:val="0"/>
      <w:marRight w:val="0"/>
      <w:marTop w:val="0"/>
      <w:marBottom w:val="0"/>
      <w:divBdr>
        <w:top w:val="none" w:sz="0" w:space="0" w:color="auto"/>
        <w:left w:val="none" w:sz="0" w:space="0" w:color="auto"/>
        <w:bottom w:val="none" w:sz="0" w:space="0" w:color="auto"/>
        <w:right w:val="none" w:sz="0" w:space="0" w:color="auto"/>
      </w:divBdr>
    </w:div>
    <w:div w:id="1799758010">
      <w:bodyDiv w:val="1"/>
      <w:marLeft w:val="0"/>
      <w:marRight w:val="0"/>
      <w:marTop w:val="0"/>
      <w:marBottom w:val="0"/>
      <w:divBdr>
        <w:top w:val="none" w:sz="0" w:space="0" w:color="auto"/>
        <w:left w:val="none" w:sz="0" w:space="0" w:color="auto"/>
        <w:bottom w:val="none" w:sz="0" w:space="0" w:color="auto"/>
        <w:right w:val="none" w:sz="0" w:space="0" w:color="auto"/>
      </w:divBdr>
    </w:div>
    <w:div w:id="1964967907">
      <w:bodyDiv w:val="1"/>
      <w:marLeft w:val="0"/>
      <w:marRight w:val="0"/>
      <w:marTop w:val="0"/>
      <w:marBottom w:val="0"/>
      <w:divBdr>
        <w:top w:val="none" w:sz="0" w:space="0" w:color="auto"/>
        <w:left w:val="none" w:sz="0" w:space="0" w:color="auto"/>
        <w:bottom w:val="none" w:sz="0" w:space="0" w:color="auto"/>
        <w:right w:val="none" w:sz="0" w:space="0" w:color="auto"/>
      </w:divBdr>
    </w:div>
    <w:div w:id="2011907286">
      <w:bodyDiv w:val="1"/>
      <w:marLeft w:val="0"/>
      <w:marRight w:val="0"/>
      <w:marTop w:val="0"/>
      <w:marBottom w:val="0"/>
      <w:divBdr>
        <w:top w:val="none" w:sz="0" w:space="0" w:color="auto"/>
        <w:left w:val="none" w:sz="0" w:space="0" w:color="auto"/>
        <w:bottom w:val="none" w:sz="0" w:space="0" w:color="auto"/>
        <w:right w:val="none" w:sz="0" w:space="0" w:color="auto"/>
      </w:divBdr>
    </w:div>
    <w:div w:id="21090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ace.army.mil/Missions/CivilWorks/RegulatoryProgramandPermit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SACE_CWA_RULE@usace.army.mi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SACE%20CWA%20RULE@usace.army.mil" TargetMode="External"/><Relationship Id="rId14" Type="http://schemas.openxmlformats.org/officeDocument/2006/relationships/hyperlink" Target="http://www.federalregist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A445-98B3-49F0-A6CA-6FBADB80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407</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3134</CharactersWithSpaces>
  <SharedDoc>false</SharedDoc>
  <HLinks>
    <vt:vector size="18" baseType="variant">
      <vt:variant>
        <vt:i4>4391039</vt:i4>
      </vt:variant>
      <vt:variant>
        <vt:i4>12</vt:i4>
      </vt:variant>
      <vt:variant>
        <vt:i4>0</vt:i4>
      </vt:variant>
      <vt:variant>
        <vt:i4>5</vt:i4>
      </vt:variant>
      <vt:variant>
        <vt:lpwstr>mailto:lrl.regulatorypubliccomment@usace.army.mil</vt:lpwstr>
      </vt:variant>
      <vt:variant>
        <vt:lpwstr/>
      </vt:variant>
      <vt:variant>
        <vt:i4>6422648</vt:i4>
      </vt:variant>
      <vt:variant>
        <vt:i4>3</vt:i4>
      </vt:variant>
      <vt:variant>
        <vt:i4>0</vt:i4>
      </vt:variant>
      <vt:variant>
        <vt:i4>5</vt:i4>
      </vt:variant>
      <vt:variant>
        <vt:lpwstr>http://www.lrl.usace.army.mil/Missions/Regulatory.aspx</vt:lpwstr>
      </vt:variant>
      <vt:variant>
        <vt:lpwstr/>
      </vt:variant>
      <vt:variant>
        <vt:i4>4391039</vt:i4>
      </vt:variant>
      <vt:variant>
        <vt:i4>0</vt:i4>
      </vt:variant>
      <vt:variant>
        <vt:i4>0</vt:i4>
      </vt:variant>
      <vt:variant>
        <vt:i4>5</vt:i4>
      </vt:variant>
      <vt:variant>
        <vt:lpwstr>mailto:lrl.regulatorypubliccomment@usace.army.mil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h2opfkam</dc:creator>
  <cp:lastModifiedBy>h2opfrlb</cp:lastModifiedBy>
  <cp:revision>6</cp:revision>
  <cp:lastPrinted>2015-02-02T14:38:00Z</cp:lastPrinted>
  <dcterms:created xsi:type="dcterms:W3CDTF">2015-02-02T14:33:00Z</dcterms:created>
  <dcterms:modified xsi:type="dcterms:W3CDTF">2015-02-02T14:42:00Z</dcterms:modified>
</cp:coreProperties>
</file>